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Міністерство освіти і науки України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Національний університет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«Чернігівський колегіум»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імені Т.Г. Шевченка</w:t>
      </w:r>
    </w:p>
    <w:p>
      <w:pPr>
        <w:pStyle w:val="LO-normal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6"/>
          <w:sz w:val="26"/>
          <w:szCs w:val="26"/>
          <w:u w:val="none"/>
          <w:shd w:fill="auto" w:val="clear"/>
          <w:vertAlign w:val="baseline"/>
        </w:rPr>
        <w:t>Вінницький державний педагогічний університет імені Михайла Коцюбинського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Київський університет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імені Бориса Грінченка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Ніжинський державний університет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імені Миколи Гоголя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sz w:val="26"/>
          <w:szCs w:val="26"/>
        </w:rPr>
        <w:t xml:space="preserve">Пенітенціарна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Академія України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Сумський державний педагогічний університет імені А.С.Макаренка</w:t>
      </w:r>
    </w:p>
    <w:p>
      <w:pPr>
        <w:pStyle w:val="LO-normal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Український державний університет імені Михайла Драгоманова</w:t>
      </w:r>
      <w:r>
        <w:rPr>
          <w:sz w:val="26"/>
          <w:szCs w:val="26"/>
        </w:rPr>
        <w:t xml:space="preserve"> </w:t>
      </w:r>
    </w:p>
    <w:p>
      <w:pPr>
        <w:pStyle w:val="LO-normal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Центральноукраїнський державний університет імені Володимира Винниченка</w:t>
      </w:r>
      <w:r>
        <w:rPr>
          <w:sz w:val="26"/>
          <w:szCs w:val="26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tabs>
          <w:tab w:val="clear" w:pos="720"/>
          <w:tab w:val="left" w:pos="993" w:leader="none"/>
          <w:tab w:val="left" w:pos="1843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ІНФОРМАЦІЙНИЙ ЛИСТ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orsiva" w:hAnsi="Corsiva" w:eastAsia="Corsiva" w:cs="Corsiv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2179320" cy="1215390"/>
            <wp:effectExtent l="0" t="0" r="0" b="0"/>
            <wp:docPr id="1" name="image1.png" descr="chnpu.edu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hnpu.edu.u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orsiva" w:hAnsi="Corsiva" w:eastAsia="Corsiva" w:cs="Corsiv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orsiva" w:cs="Corsiva" w:ascii="Corsiva" w:hAnsi="Corsiv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Corsiva" w:hAnsi="Corsiva" w:eastAsia="Corsiva" w:cs="Corsiv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orsiva" w:cs="Corsiva" w:ascii="Corsiva" w:hAnsi="Corsiv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Запрошуємо Вас </w:t>
      </w:r>
      <w:r>
        <w:rPr>
          <w:rFonts w:eastAsia="Corsiva" w:cs="Corsiva" w:ascii="Corsiva" w:hAnsi="Corsiva"/>
          <w:sz w:val="24"/>
          <w:szCs w:val="24"/>
        </w:rPr>
        <w:t>у</w:t>
      </w:r>
      <w:r>
        <w:rPr>
          <w:rFonts w:eastAsia="Corsiva" w:cs="Corsiva" w:ascii="Corsiva" w:hAnsi="Corsiv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зяти участь у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Всеукраїнській науково-практичній конференції молодих науковців </w:t>
      </w:r>
      <w:r>
        <w:rPr>
          <w:b/>
          <w:sz w:val="24"/>
          <w:szCs w:val="24"/>
        </w:rPr>
        <w:t>і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студентів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«Філософія, філологія, культура, освіта: </w:t>
      </w:r>
      <w:r>
        <w:rPr>
          <w:b/>
          <w:sz w:val="24"/>
          <w:szCs w:val="24"/>
        </w:rPr>
        <w:t>слово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молоді»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яка відбудеться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25 березня 2025 року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(в онлайн-форматі)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 участі запрошу</w:t>
      </w:r>
      <w:r>
        <w:rPr>
          <w:sz w:val="24"/>
          <w:szCs w:val="24"/>
        </w:rPr>
        <w:t>ємо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молод</w:t>
      </w:r>
      <w:r>
        <w:rPr>
          <w:sz w:val="24"/>
          <w:szCs w:val="24"/>
        </w:rPr>
        <w:t>их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викладач</w:t>
      </w:r>
      <w:r>
        <w:rPr>
          <w:sz w:val="24"/>
          <w:szCs w:val="24"/>
        </w:rPr>
        <w:t>ів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аспірант</w:t>
      </w:r>
      <w:r>
        <w:rPr>
          <w:sz w:val="24"/>
          <w:szCs w:val="24"/>
        </w:rPr>
        <w:t>ів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магістрант</w:t>
      </w:r>
      <w:r>
        <w:rPr>
          <w:sz w:val="24"/>
          <w:szCs w:val="24"/>
        </w:rPr>
        <w:t>ів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студент</w:t>
      </w:r>
      <w:r>
        <w:rPr>
          <w:sz w:val="24"/>
          <w:szCs w:val="24"/>
        </w:rPr>
        <w:t>ів, учнів старшої школи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firstLine="42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Робочі мови конференції: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українська, англійська.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-6804" w:leader="none"/>
        </w:tabs>
        <w:spacing w:lineRule="auto" w:line="240" w:before="0" w:after="0"/>
        <w:ind w:left="142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-6804" w:leader="none"/>
        </w:tabs>
        <w:spacing w:lineRule="auto" w:line="240" w:before="0" w:after="0"/>
        <w:ind w:left="142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Форми участі у конференції: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0" w:right="0" w:firstLine="284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Особиста участь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що передбачає виступ із доповіддю – 5-7 хв., публікацію тез доповідей.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0" w:right="0" w:firstLine="284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Заочна участь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 конференції - публікація тез доповіді.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Тематичні напрямки роботи конференції: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Філософські, культурологічні аспекти сучасної освіти.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Педагогічні аспекти сучасно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uk-UA"/>
        </w:rPr>
        <w:t>ї освіти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Комунікативно-функціональний, лінгвокогнітивний та етнолінгвістичний аспекти сучасного англо- й українськомовного дискурсу.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Актуальні питання методики навчання іноземних мов у закладах загальної середньої та вищої освіти.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Сучасні проблеми літературознавства та методики навчання </w:t>
      </w:r>
      <w:r>
        <w:rPr>
          <w:sz w:val="24"/>
          <w:szCs w:val="24"/>
        </w:rPr>
        <w:t>й викладання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зарубіжної літератури.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Актуальні проблеми українського мовознавства і літературознавств</w:t>
      </w:r>
      <w:r>
        <w:rPr>
          <w:sz w:val="24"/>
          <w:szCs w:val="24"/>
        </w:rPr>
        <w:t xml:space="preserve">а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 методик</w:t>
      </w:r>
      <w:r>
        <w:rPr>
          <w:sz w:val="24"/>
          <w:szCs w:val="24"/>
        </w:rPr>
        <w:t xml:space="preserve"> їх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навчання</w:t>
      </w:r>
      <w:r>
        <w:rPr>
          <w:sz w:val="24"/>
          <w:szCs w:val="24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58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Для участі в конференції до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12 лютого 2025 року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необхідно: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12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Надіслати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на електронну адресу </w:t>
      </w:r>
      <w:hyperlink r:id="rId3">
        <w:r>
          <w:rPr>
            <w:rFonts w:eastAsia="Times New Roman" w:cs="Times New Roman"/>
            <w:b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conference.nuchk@gmail.com</w:t>
        </w:r>
      </w:hyperlink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720" w:right="0" w:hanging="360"/>
        <w:jc w:val="left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заявку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для участі в конференції (бланк заявки додається). Документ із заявкою називати за прізвищем та ім’ям автора і словом zayavka, писати латиницею, наприклад: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Kostenko_M_zayavka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20" w:leader="none"/>
        </w:tabs>
        <w:spacing w:lineRule="auto" w:line="240" w:before="0" w:after="0"/>
        <w:ind w:left="720" w:right="0" w:hanging="360"/>
        <w:jc w:val="both"/>
        <w:rPr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вичитані та оформлені відповідно до вимог (див. нижче)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тези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доповіді у вигляді комп’ютерного файлу (файл створювати у редакторі Word). Файл з тезами називати за прізвищем та ім’ям автора, писати латиницею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Kostenko_M_tezy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0" w:leader="none"/>
        </w:tabs>
        <w:spacing w:lineRule="auto" w:line="240" w:before="77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 результатами конференції планується видання електронного варіанту збірника матеріалів конференції.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72" w:after="0"/>
        <w:ind w:left="37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72" w:after="0"/>
        <w:ind w:left="37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Участь у конференції - безкоштовна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72" w:after="0"/>
        <w:ind w:left="37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72" w:after="0"/>
        <w:ind w:left="37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Тези доповідей повинні відповідати таким вимогам: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67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Весь текст </w:t>
      </w:r>
      <w:r>
        <w:rPr>
          <w:sz w:val="22"/>
          <w:szCs w:val="22"/>
        </w:rPr>
        <w:t>має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бути набраний у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Word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у форматі А4, гарнітура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Times New Roman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розмір 14, міжрядковий інтервал 1,5 (поля сторінок: ліве, праве, верхнє та нижнє – 2 см), абзац 1,25.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5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1-й рядок: прізвище та ініціали автора  (вирівнювання по лівому краю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шрифт напі</w:t>
      </w:r>
      <w:r>
        <w:rPr>
          <w:b/>
          <w:sz w:val="22"/>
          <w:szCs w:val="22"/>
        </w:rPr>
        <w:t>вгруби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й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);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5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2-й, 3-й (і 4-й) рядки: відомості про автора (про авторів): вказати повну назву навчального закладу та наукового керівника (науковий ступінь, прізвище та ініціали);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5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Далі через рядок: назва доповіді (вирівнювання по центру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шрифт напі</w:t>
      </w:r>
      <w:r>
        <w:rPr>
          <w:b/>
          <w:sz w:val="22"/>
          <w:szCs w:val="22"/>
        </w:rPr>
        <w:t>вгруб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ий ВЕЛИКИМИ ЛІТЕРАМИ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);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3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Через рядок подається текст тез доповіді (вирівнювання по ширині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). Обсяг: 1–2 сторінки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3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Після тексту </w:t>
      </w:r>
      <w:r>
        <w:rPr>
          <w:sz w:val="22"/>
          <w:szCs w:val="22"/>
        </w:rPr>
        <w:t xml:space="preserve">необхідно подати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Список літератури (пронумерований список; вирівнювання по ширині) – в алфавітному порядку, відповідно до чинних стандартів. Назва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Література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(мовою тез,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шрифт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напів</w:t>
      </w:r>
      <w:r>
        <w:rPr>
          <w:b/>
          <w:sz w:val="22"/>
          <w:szCs w:val="22"/>
        </w:rPr>
        <w:t>груб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ий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друку</w:t>
      </w:r>
      <w:r>
        <w:rPr>
          <w:sz w:val="22"/>
          <w:szCs w:val="22"/>
        </w:rPr>
        <w:t xml:space="preserve">йте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через один рядок після основного тексту. Ілюстративний матеріал виділяти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курсивом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Значення слів беруться в лапки.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3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 тексті слід розрізняти знаки тире (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–)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та дефісу (-).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3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Посилання в тексті на джерела зазначати в квадратних дужках [номер джерела, сторінка], наприклад: [1, с. 13]. У реченні крапк</w:t>
      </w:r>
      <w:r>
        <w:rPr>
          <w:sz w:val="22"/>
          <w:szCs w:val="22"/>
        </w:rPr>
        <w:t>у ставте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після квадратних дужок (посилань).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360" w:leader="none"/>
        </w:tabs>
        <w:spacing w:lineRule="auto" w:line="240" w:before="38" w:after="0"/>
        <w:ind w:left="36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Спеціальні шрифти надсила</w:t>
      </w:r>
      <w:r>
        <w:rPr>
          <w:sz w:val="22"/>
          <w:szCs w:val="22"/>
        </w:rPr>
        <w:t xml:space="preserve">йте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додатково окремими вкладеними файлами.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3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Зразок оформлення використаних джерел: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1080" w:leader="none"/>
        </w:tabs>
        <w:spacing w:lineRule="auto" w:line="240" w:before="0" w:after="0"/>
        <w:ind w:left="0" w:right="0" w:firstLine="70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Калинюк Н.М.,  Романюк Л.М., Романюк Н.Є. Щодо питання перевірки дієвості застосування міждисциплінарного підходу під час підготовки магістрів громадського здоров’я.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«Вісник університету імені Альфреда Нобеля». Серія «Педагогіка і психологія».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2021. № 1 (21). С.158–162.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clear" w:pos="720"/>
          <w:tab w:val="left" w:pos="1080" w:leader="none"/>
        </w:tabs>
        <w:spacing w:lineRule="auto" w:line="240" w:before="0" w:after="0"/>
        <w:ind w:left="0" w:right="0" w:firstLine="70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Офіційний сайт Українського центру оцінювання якості освіти. URL: https:// testportal.gov.ua/ (дата звернення: 10.12.2021). 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clear" w:pos="720"/>
          <w:tab w:val="left" w:pos="1080" w:leader="none"/>
        </w:tabs>
        <w:spacing w:lineRule="auto" w:line="240" w:before="0" w:after="0"/>
        <w:ind w:left="0" w:right="0" w:firstLine="70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hyperlink r:id="rId4">
        <w:r>
          <w:rPr>
            <w:rFonts w:eastAsia="Times New Roman" w:cs="Times New Roman"/>
            <w:b w:val="false"/>
            <w:i w:val="false"/>
            <w:smallCaps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D</w:t>
        </w:r>
      </w:hyperlink>
      <w:hyperlink r:id="rId5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ownie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R. Who are ADP's Main Competitors? URL: </w:t>
      </w:r>
      <w:hyperlink r:id="rId6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2"/>
            <w:sz w:val="22"/>
            <w:szCs w:val="22"/>
            <w:u w:val="single"/>
            <w:shd w:fill="auto" w:val="clear"/>
            <w:vertAlign w:val="baseline"/>
          </w:rPr>
          <w:t>https://www.investopedia.com/articles/professionals/042416/adp-who-are-adps-main-com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(дата звернення: 17.12.2021).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FFFFFF"/>
        <w:tabs>
          <w:tab w:val="clear" w:pos="720"/>
          <w:tab w:val="left" w:pos="1080" w:leader="none"/>
        </w:tabs>
        <w:spacing w:lineRule="auto" w:line="240" w:before="0" w:after="0"/>
        <w:ind w:left="0" w:right="0" w:firstLine="70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WELL Health-Safety Rating for Facility Operations and Management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.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Program Overview.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The USA: International WELL Building Institute, 2021. 23 c. 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Увага!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62" w:after="0"/>
        <w:ind w:left="0" w:right="0" w:firstLine="284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Відповідальність за достовірність фактів, цитат, власних імен та інших відомостей несуть автори публікацій. Частка авторського тексту повинна складати не менше 80%.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8100" w:leader="none"/>
        </w:tabs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Оргкомітет: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8100" w:leader="none"/>
        </w:tabs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вулиця Гетьмана Полуботка, 53, кімн. 403,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8100" w:leader="none"/>
        </w:tabs>
        <w:spacing w:lineRule="auto" w:line="240" w:before="0" w:after="0"/>
        <w:ind w:left="28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м. Чернігів 14000,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Філологічний факультет, Національний університет  «Чернігівський колегіум» імені Т. Г. Шевченка.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Відповідальні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викладач кафедри іноземної філології та освітніх технологій Синяк Андрій Олександрович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(097 5904789)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викладач кафедри іноземних мов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Кашпур Світлана Іванівна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(0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98 798 52 53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викладач кафедри української мови і літератури Гордієнко Олеся Євгенівна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(063 122 2505)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док. філос. наук, доцент кафедри філософії та культурології Царенок Андрій Вікторович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098 741 10 90)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голова студентського наукового товариства філологічного факультету Рудягіна Анастасія В’ячеславівна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single"/>
          <w:shd w:fill="auto" w:val="clear"/>
          <w:vertAlign w:val="baseline"/>
        </w:rPr>
        <w:t>099 047 69 33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Оргкомітет буде вдячний Вам за інформування колег щодо проведення заходу!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Заявка на участь у конференції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Філософія, філологія, культура, освіта: </w:t>
      </w:r>
      <w:r>
        <w:rPr>
          <w:b/>
          <w:sz w:val="24"/>
          <w:szCs w:val="24"/>
        </w:rPr>
        <w:t>слово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молоді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– 2025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6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П.І.Б.(повністю) 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Місце роботи/навчання (назва університету)посада, 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Факультет___________________________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Курс 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Група_______________________________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 Інформація про наукового керівника (прізвище, ініціали, науковий ступінь, посада, кафедра) __________________________________________________________________________________________________________________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 Назва доповіді 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8. Назва секції 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Повна контактна інформація </w:t>
      </w:r>
      <w:r>
        <w:rPr>
          <w:sz w:val="24"/>
          <w:szCs w:val="24"/>
        </w:rPr>
        <w:t>(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телефон, е-mail)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orient="landscape" w:w="16838" w:h="11906"/>
      <w:pgMar w:left="506" w:right="634" w:gutter="0" w:header="0" w:top="576" w:footer="0" w:bottom="720"/>
      <w:pgNumType w:start="1" w:fmt="decimal"/>
      <w:cols w:num="3" w:space="364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orsiva"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b w:val="false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vertAlign w:val="baseline"/>
        <w:position w:val="0"/>
        <w:sz w:val="20"/>
        <w:sz w:val="20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646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6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6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6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6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6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6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6" w:hanging="180"/>
      </w:pPr>
      <w:rPr>
        <w:vertAlign w:val="baseline"/>
        <w:position w:val="0"/>
        <w:sz w:val="20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uk-UA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uk-UA" w:eastAsia="zh-CN" w:bidi="hi-IN"/>
    </w:rPr>
  </w:style>
  <w:style w:type="paragraph" w:styleId="Style14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ference.nuchk@gmail.com" TargetMode="External"/><Relationship Id="rId4" Type="http://schemas.openxmlformats.org/officeDocument/2006/relationships/hyperlink" Target="https://www.investopedia.com/contributors/53914/" TargetMode="External"/><Relationship Id="rId5" Type="http://schemas.openxmlformats.org/officeDocument/2006/relationships/hyperlink" Target="https://www.investopedia.com/contributors/53914/" TargetMode="External"/><Relationship Id="rId6" Type="http://schemas.openxmlformats.org/officeDocument/2006/relationships/hyperlink" Target="https://www.investopedia.com/articles/professionals/042416/adp-who-are-adps-main-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LibreOffice/7.5.5.2$Windows_X86_64 LibreOffice_project/ca8fe7424262805f223b9a2334bc7181abbcbf5e</Application>
  <AppVersion>15.0000</AppVersion>
  <Pages>2</Pages>
  <Words>716</Words>
  <Characters>5528</Characters>
  <CharactersWithSpaces>6172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2024-10-22T13:17:30Z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